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caps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caps/>
          <w:sz w:val="24"/>
          <w:szCs w:val="20"/>
          <w:lang w:eastAsia="pl-PL"/>
        </w:rPr>
        <w:t>-Projekt-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b/>
          <w:b/>
          <w:caps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caps/>
          <w:sz w:val="24"/>
          <w:szCs w:val="20"/>
          <w:lang w:eastAsia="pl-PL"/>
        </w:rPr>
        <w:t>UCHWAŁA NR ……/2020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caps/>
          <w:sz w:val="24"/>
          <w:szCs w:val="20"/>
          <w:lang w:eastAsia="pl-PL"/>
        </w:rPr>
        <w:t xml:space="preserve">RADY Gminy Lidzbark Warmiński </w:t>
        <w:br/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z dnia …. marca 2020r.</w:t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w sprawie szczegółowych warunków przyznawania i odpłatności za usługi opiekuńcze     </w:t>
        <w:br/>
        <w:t xml:space="preserve"> i specjalistyczne usługi opiekuńcze, z wyłączeniem specjalistycznych usług opiekuńczych dla osób z zaburzeniami psychicznymi oraz szczegółowych warunków częściowego lub całkowitego zwolnienia   z opłat, jak również trybu ich pobierania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pl-PL"/>
        </w:rPr>
        <w:t> 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 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Na podstawie art. 18 ust. 2 pkt 15 ustawy z dnia 8 marca 1990 r. o samorządzie gminnym                </w:t>
      </w:r>
      <w:r>
        <w:rPr>
          <w:rFonts w:eastAsia="Times New Roman" w:cs="Times New Roman" w:ascii="Times New Roman" w:hAnsi="Times New Roman"/>
          <w:bCs/>
          <w:color w:val="000000" w:themeColor="text1"/>
          <w:sz w:val="24"/>
          <w:szCs w:val="24"/>
          <w:lang w:eastAsia="pl-PL"/>
        </w:rPr>
        <w:t>(</w:t>
      </w:r>
      <w:hyperlink r:id="rId2">
        <w:r>
          <w:rPr>
            <w:rStyle w:val="Czeinternetowe"/>
            <w:rFonts w:cs="Times New Roman" w:ascii="Times New Roman" w:hAnsi="Times New Roman"/>
            <w:color w:val="000000" w:themeColor="text1"/>
            <w:u w:val="none"/>
          </w:rPr>
          <w:t>t.j. Dz.U. z 2019 r. poz. 506 ze zm.</w:t>
        </w:r>
      </w:hyperlink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)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oraz art. 17 ust. 1 pkt 11, art. 50 ust. 6 ustawy z dnia 12 marca 2004 r. o pomocy społecznej (t.j.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Dz. U. z 2019 r.  poz. 1507 ze zm.), Rada Gminy Lidzbark Warmiński uchwala, co następuje: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§ 1.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before="80" w:after="240"/>
        <w:ind w:left="29" w:hanging="0"/>
        <w:jc w:val="both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Uchwala się szczegółowe warunki przyznawania i odpłatności za usługi opiekuńcze </w:t>
        <w:br/>
        <w:t>i specjalistyczne usługi opiekuńcze, z wyłączeniem specjalistycznych usług opiekuńczych dla osób z zaburzeniami psychicznymi oraz szczegółowe warunki częściowego lub całkowitego zwolnienia z opłat jak również tryb ich pobierania, obowiązujące na terenie Gminy Lidzbark Warmiński – stanowiące załącznik do niniejszej uchwały.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§ 2.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Traci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0"/>
          <w:lang w:eastAsia="pl-PL"/>
        </w:rPr>
        <w:t>moc uchwała Nr XLIV/358/2014  Rady</w:t>
      </w:r>
      <w:r>
        <w:rPr>
          <w:rFonts w:eastAsia="Times New Roman" w:cs="Times New Roman"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Gminy Lidzbark Warmiński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0"/>
          <w:lang w:eastAsia="pl-PL"/>
        </w:rPr>
        <w:t xml:space="preserve"> z dnia 30 października 2014r.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w sprawie szczegółowych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warunków przyznawania i odpłatności za usługi opiekuńcze i specjalistyczne usługi opiekuńcze, z wyłączeniem specjalistycznych usług opiekuńczych dla osób z zaburzeniami psychicznymi oraz szczegółowych warunków częściowego lub całkowitego zwolnienia z opłat, jak również trybu ich pobierania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 .</w:t>
      </w:r>
    </w:p>
    <w:p>
      <w:pPr>
        <w:pStyle w:val="ListParagraph"/>
        <w:spacing w:lineRule="auto" w:line="240" w:before="0" w:after="160"/>
        <w:contextualSpacing/>
        <w:jc w:val="both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6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Uchyla się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0"/>
          <w:lang w:eastAsia="pl-PL"/>
        </w:rPr>
        <w:t xml:space="preserve"> uchwałę Nr XIII/106/2019  Rady</w:t>
      </w:r>
      <w:r>
        <w:rPr>
          <w:rFonts w:eastAsia="Times New Roman" w:cs="Times New Roman" w:ascii="Times New Roman" w:hAnsi="Times New Roman"/>
          <w:bCs/>
          <w:color w:val="000000" w:themeColor="text1"/>
          <w:sz w:val="24"/>
          <w:szCs w:val="24"/>
          <w:lang w:eastAsia="pl-PL"/>
        </w:rPr>
        <w:t xml:space="preserve"> Gminy Lidzbark Warmiński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0"/>
          <w:lang w:eastAsia="pl-PL"/>
        </w:rPr>
        <w:t xml:space="preserve"> z dnia 19 grudnia 2019r.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w sprawie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szczegółowych warunków przyznawania i odpłatności za usługi opiekuńcze i specjalistyczne usługi opiekuńcze, z wyłączeniem specjalistycznych usług opiekuńczych dla osób z zaburzeniami psychicznymi oraz szczegółowych warunków częściowego lub całkowitego zwolnienia   z opłat, jak również trybu ich pobierania.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§ 3.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</w:r>
    </w:p>
    <w:p>
      <w:pPr>
        <w:pStyle w:val="Normal"/>
        <w:spacing w:before="80" w:after="240"/>
        <w:jc w:val="both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Wykonanie uchwały powierza się Wójtowi Gminy Lidzbark Warmiński.</w:t>
      </w:r>
    </w:p>
    <w:p>
      <w:pPr>
        <w:pStyle w:val="Normal"/>
        <w:spacing w:before="80" w:after="240"/>
        <w:ind w:left="29" w:hanging="0"/>
        <w:jc w:val="center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§ 4.</w:t>
      </w:r>
    </w:p>
    <w:p>
      <w:pPr>
        <w:pStyle w:val="Normal"/>
        <w:spacing w:before="80" w:after="240"/>
        <w:ind w:left="29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>Uchwała wchodzi w życie po upływie 14 dni od dnia ogłoszenia w Dzienniku Urzędowym Województwa Warmińsko-Mazurskiego.</w:t>
      </w:r>
    </w:p>
    <w:p>
      <w:pPr>
        <w:pStyle w:val="Normal"/>
        <w:spacing w:lineRule="auto" w:line="240" w:beforeAutospacing="1" w:afterAutospacing="1"/>
        <w:ind w:left="5672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Przewodniczący Rady Gminy</w:t>
      </w:r>
    </w:p>
    <w:p>
      <w:pPr>
        <w:pStyle w:val="Normal"/>
        <w:spacing w:lineRule="auto" w:line="240" w:before="0" w:after="0"/>
        <w:ind w:left="4956" w:firstLine="397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4956" w:firstLine="397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Załącznik do uchwały Nr ……………</w:t>
      </w:r>
    </w:p>
    <w:p>
      <w:pPr>
        <w:pStyle w:val="Normal"/>
        <w:spacing w:lineRule="auto" w:line="240" w:before="0" w:after="0"/>
        <w:ind w:left="4956" w:firstLine="397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Rady Gminy Lidzbark Warmiński</w:t>
      </w:r>
    </w:p>
    <w:p>
      <w:pPr>
        <w:pStyle w:val="Normal"/>
        <w:spacing w:lineRule="auto" w:line="240" w:before="0" w:after="0"/>
        <w:ind w:left="4956" w:firstLine="397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z dnia ……………………..</w:t>
      </w:r>
    </w:p>
    <w:p>
      <w:pPr>
        <w:pStyle w:val="Normal"/>
        <w:spacing w:lineRule="auto" w:line="240" w:before="80" w:after="0"/>
        <w:ind w:left="4651" w:firstLine="397"/>
        <w:jc w:val="both"/>
        <w:rPr>
          <w:rFonts w:ascii="Times New Roman" w:hAnsi="Times New Roman" w:eastAsia="Times New Roman" w:cs="Times New Roman"/>
          <w:sz w:val="24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pl-PL"/>
        </w:rPr>
      </w:r>
    </w:p>
    <w:p>
      <w:pPr>
        <w:pStyle w:val="Standard"/>
        <w:spacing w:lineRule="auto" w:line="276"/>
        <w:jc w:val="center"/>
        <w:rPr>
          <w:b/>
          <w:b/>
          <w:bCs/>
        </w:rPr>
      </w:pPr>
      <w:r>
        <w:rPr>
          <w:b/>
          <w:bCs/>
        </w:rPr>
        <w:t>Szczegółowe warunki przyznawania i odpłatności za usługi opiekuńcze                                       i specjalistyczne usługi opiekuńcze, z wyłączeniem specjalistycznych usług opiekuńczych dla osób z zaburzeniami psychicznymi oraz szczegółowe warunki częściowego lub całkowitego zwolnienia z opłat, jak również tryb ich pobierania.</w:t>
      </w:r>
    </w:p>
    <w:p>
      <w:pPr>
        <w:pStyle w:val="Standard"/>
        <w:spacing w:lineRule="auto" w:line="276"/>
        <w:jc w:val="both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25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1.</w:t>
      </w:r>
    </w:p>
    <w:p>
      <w:pPr>
        <w:pStyle w:val="Normal"/>
        <w:tabs>
          <w:tab w:val="clear" w:pos="708"/>
          <w:tab w:val="left" w:pos="525" w:leader="none"/>
        </w:tabs>
        <w:spacing w:before="0" w:after="0"/>
        <w:ind w:right="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Usługi opiekuńcze i specjalistyczne usługi opiekuńcze, z wyłączeniem specjalistycznych usług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opiekuńczych dla osób z zaburzenia psychicznymi, na terenie Gminy Lidzbark Warmiński  organizuje Gminny Ośrodek Pomocy Społecznej w Lidzbarku Warmińskim, zwany dalej Ośrodkiem.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49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2.</w:t>
      </w:r>
    </w:p>
    <w:p>
      <w:pPr>
        <w:pStyle w:val="Normal"/>
        <w:tabs>
          <w:tab w:val="clear" w:pos="708"/>
          <w:tab w:val="left" w:pos="451" w:leader="none"/>
        </w:tabs>
        <w:spacing w:before="0" w:after="0"/>
        <w:ind w:right="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Usługi opiekuńcze lub specjalistyczne usługi opiekuńcze przysługują nieodpłatnie świadczeniobiorcom,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których dochód netto na osobę w rodzinie nie przekracza kryterium dochodowego ustalonego zgodnie z art. 8 ust. 1 ustawy o pomocy społecznej.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11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3.</w:t>
      </w:r>
    </w:p>
    <w:p>
      <w:pPr>
        <w:pStyle w:val="Normal"/>
        <w:tabs>
          <w:tab w:val="clear" w:pos="708"/>
          <w:tab w:val="left" w:pos="480" w:leader="none"/>
        </w:tabs>
        <w:spacing w:before="0" w:after="0"/>
        <w:ind w:right="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Osoby nie spełniające warunku, o którym mowa w § 2 ponoszą  odpłatność za usługi opiekuńcze lub specjalistyczne usługi opiekuńcze w części lub w całości, zgodnie z poniższą tabelą:</w:t>
      </w:r>
    </w:p>
    <w:tbl>
      <w:tblPr>
        <w:tblW w:w="9285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843"/>
        <w:gridCol w:w="3450"/>
        <w:gridCol w:w="2073"/>
        <w:gridCol w:w="1763"/>
        <w:gridCol w:w="1156"/>
      </w:tblGrid>
      <w:tr>
        <w:trPr>
          <w:trHeight w:val="512" w:hRule="atLeast"/>
        </w:trPr>
        <w:tc>
          <w:tcPr>
            <w:tcW w:w="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450" w:type="dxa"/>
            <w:vMerge w:val="restart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Dochód na osobę w stosunku do </w:t>
            </w:r>
            <w:r>
              <w:rPr>
                <w:rFonts w:eastAsia="Times New Roman" w:cs="Times New Roman" w:ascii="Times New Roman" w:hAnsi="Times New Roman"/>
                <w:b/>
                <w:w w:val="99"/>
                <w:sz w:val="24"/>
                <w:szCs w:val="24"/>
              </w:rPr>
              <w:t xml:space="preserve">kryterium dochodowego, o którym mowa w art. 8 ust. 1 ustawy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o pomocy społecznej</w:t>
            </w:r>
          </w:p>
        </w:tc>
        <w:tc>
          <w:tcPr>
            <w:tcW w:w="4992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ind w:right="70" w:hanging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Wysokość odpłatności określona w procentach od ceny</w:t>
            </w:r>
          </w:p>
        </w:tc>
      </w:tr>
      <w:tr>
        <w:trPr>
          <w:trHeight w:val="385" w:hRule="atLeast"/>
        </w:trPr>
        <w:tc>
          <w:tcPr>
            <w:tcW w:w="843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0" w:type="dxa"/>
            <w:vMerge w:val="continue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36" w:type="dxa"/>
            <w:gridSpan w:val="2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ind w:left="1240" w:hanging="0"/>
              <w:rPr>
                <w:rFonts w:ascii="Times New Roman" w:hAnsi="Times New Roman" w:eastAsia="Times New Roman" w:cs="Times New Roman"/>
                <w:b/>
                <w:b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w w:val="99"/>
                <w:sz w:val="24"/>
                <w:szCs w:val="24"/>
              </w:rPr>
              <w:t>usługi za 1 (jedną) godzinę dla: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699" w:hRule="atLeast"/>
        </w:trPr>
        <w:tc>
          <w:tcPr>
            <w:tcW w:w="843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50" w:type="dxa"/>
            <w:vMerge w:val="continue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7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 xml:space="preserve">Osoby samotnej nie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posiadającej osób zobowiązanych do alimentacji</w:t>
            </w:r>
          </w:p>
        </w:tc>
        <w:tc>
          <w:tcPr>
            <w:tcW w:w="176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 xml:space="preserve">Osoby samotnie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gospodarującej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auto" w:line="240" w:before="0" w:after="200"/>
              <w:ind w:right="250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Osoby w rodzinie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1.</w:t>
            </w:r>
          </w:p>
        </w:tc>
        <w:tc>
          <w:tcPr>
            <w:tcW w:w="345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do 100%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0"/>
                <w:sz w:val="24"/>
                <w:szCs w:val="24"/>
              </w:rPr>
              <w:t>0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2.</w:t>
            </w:r>
          </w:p>
        </w:tc>
        <w:tc>
          <w:tcPr>
            <w:tcW w:w="345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100% do 150%</w:t>
            </w:r>
          </w:p>
        </w:tc>
        <w:tc>
          <w:tcPr>
            <w:tcW w:w="207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0"/>
                <w:sz w:val="24"/>
                <w:szCs w:val="24"/>
              </w:rPr>
              <w:t>5</w:t>
            </w:r>
          </w:p>
        </w:tc>
        <w:tc>
          <w:tcPr>
            <w:tcW w:w="176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15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15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3.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150% do 200%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25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4.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200% do 250%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35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5.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250% do 300%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50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55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6.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300% do 350%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60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65</w:t>
            </w:r>
          </w:p>
        </w:tc>
      </w:tr>
      <w:tr>
        <w:trPr>
          <w:trHeight w:val="230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7.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350% do 400%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55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38" w:before="0" w:after="200"/>
              <w:jc w:val="center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9"/>
                <w:sz w:val="24"/>
                <w:szCs w:val="24"/>
              </w:rPr>
              <w:t>85</w:t>
            </w:r>
          </w:p>
        </w:tc>
      </w:tr>
      <w:tr>
        <w:trPr>
          <w:trHeight w:val="233" w:hRule="atLeast"/>
        </w:trPr>
        <w:tc>
          <w:tcPr>
            <w:tcW w:w="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41" w:before="0" w:after="200"/>
              <w:jc w:val="center"/>
              <w:rPr>
                <w:rFonts w:ascii="Times New Roman" w:hAnsi="Times New Roman" w:eastAsia="Times New Roman" w:cs="Times New Roman"/>
                <w:w w:val="96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w w:val="96"/>
                <w:sz w:val="24"/>
                <w:szCs w:val="24"/>
              </w:rPr>
              <w:t>8.</w:t>
            </w:r>
          </w:p>
        </w:tc>
        <w:tc>
          <w:tcPr>
            <w:tcW w:w="345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41"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powyżej 400%</w:t>
            </w:r>
          </w:p>
        </w:tc>
        <w:tc>
          <w:tcPr>
            <w:tcW w:w="207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41" w:before="0" w:after="20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41" w:before="0" w:after="20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5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spacing w:lineRule="exact" w:line="241" w:before="0" w:after="20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>
      <w:pPr>
        <w:pStyle w:val="Normal"/>
        <w:tabs>
          <w:tab w:val="clear" w:pos="708"/>
          <w:tab w:val="left" w:pos="449" w:leader="none"/>
        </w:tabs>
        <w:spacing w:before="0" w:after="0"/>
        <w:ind w:left="283" w:right="20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51" w:leader="none"/>
        </w:tabs>
        <w:spacing w:before="0" w:after="0"/>
        <w:ind w:left="283" w:right="20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51" w:leader="none"/>
        </w:tabs>
        <w:spacing w:before="0" w:after="0"/>
        <w:ind w:left="283" w:right="20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51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4.</w:t>
      </w:r>
    </w:p>
    <w:p>
      <w:pPr>
        <w:pStyle w:val="Normal"/>
        <w:tabs>
          <w:tab w:val="clear" w:pos="708"/>
          <w:tab w:val="left" w:pos="480" w:leader="none"/>
        </w:tabs>
        <w:spacing w:before="0" w:after="0"/>
        <w:ind w:left="283" w:right="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650" w:leader="none"/>
        </w:tabs>
        <w:spacing w:before="0" w:after="0"/>
        <w:ind w:right="1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1.Świadczeniobiorca może ubiegać się o częściowe zwolnienie z ponoszenia odpłatności za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realizowane usługi opiekuńcze i specjalistyczne usługi opiekuńcze w przypadku: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38" w:leader="none"/>
        </w:tabs>
        <w:spacing w:before="0" w:after="0"/>
        <w:ind w:right="10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1) ponoszenia kosztów pobytu innych członków rodziny w domu pomocy społecznej, ośrodku wsparcia, zakładzie opiekuńczo-leczniczym, placówce opiekuńczo-wychowawczej, placówce leczniczo-rehabilitacyjnej,</w:t>
      </w:r>
    </w:p>
    <w:p>
      <w:pPr>
        <w:pStyle w:val="Normal"/>
        <w:tabs>
          <w:tab w:val="clear" w:pos="708"/>
          <w:tab w:val="left" w:pos="560" w:leader="none"/>
        </w:tabs>
        <w:spacing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2) ponoszenia  stałych,  niezbędnych  i  uzasadnionych  wydatków,  których  wysokość  zagraża  egzystencji, związanych z potrzebami mieszkaniowymi osoby zobowiązanej,             z procesem leczenia osoby zobowiązanej bądź osoby, z którą prowadzi wspólne gospodarstwo domowe, w tym z koniecznością rehabilitacji, zakupu leków, artykułów higienicznych lub pielęgnacyjnych a także stosowania określonej diety,</w:t>
      </w:r>
    </w:p>
    <w:p>
      <w:pPr>
        <w:pStyle w:val="Normal"/>
        <w:tabs>
          <w:tab w:val="clear" w:pos="708"/>
          <w:tab w:val="left" w:pos="500" w:leader="none"/>
        </w:tabs>
        <w:spacing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3) korzystania z co najmniej dwóch rodzajów specjalistycznych usług,</w:t>
      </w:r>
    </w:p>
    <w:p>
      <w:pPr>
        <w:pStyle w:val="Normal"/>
        <w:tabs>
          <w:tab w:val="clear" w:pos="708"/>
          <w:tab w:val="left" w:pos="535" w:leader="none"/>
        </w:tabs>
        <w:spacing w:before="0" w:after="0"/>
        <w:ind w:right="1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4) kiedy w rodzinie występuje więcej niż jedna osoba wymagająca pomocy w formie usług opiekuńczych i specjalistycznych usług opiekuńczych.</w:t>
      </w:r>
    </w:p>
    <w:p>
      <w:pPr>
        <w:pStyle w:val="Normal"/>
        <w:spacing w:lineRule="exact" w:line="13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645" w:leader="none"/>
        </w:tabs>
        <w:spacing w:before="0" w:after="0"/>
        <w:ind w:right="1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Świadczeniobiorca może ubiegać się o całkowite zwolnienie od ponoszenia odpłatności za realizowane usługi opiekuńcze i specjalistyczne usługi opiekuńcze w przypadku jednoczesnego występowania więcej niż jednej z przesłanek określonych w ust.1</w:t>
      </w:r>
    </w:p>
    <w:p>
      <w:pPr>
        <w:pStyle w:val="Standard"/>
        <w:spacing w:lineRule="auto" w:line="276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49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5.</w:t>
      </w:r>
    </w:p>
    <w:p>
      <w:pPr>
        <w:pStyle w:val="Normal"/>
        <w:tabs>
          <w:tab w:val="clear" w:pos="708"/>
          <w:tab w:val="left" w:pos="559" w:leader="none"/>
        </w:tabs>
        <w:spacing w:before="0" w:after="0"/>
        <w:ind w:right="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Opłaty za świadczone usługi opiekuńcze i specjalistyczne usługi opiekuńcze  wnoszone są przez osoby zobowiązane do odpłatności  na konto bankowe Ośrodka lub w kasie Urzędu Gminy w Lidzbarku Warmińskim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492" w:leader="none"/>
        </w:tabs>
        <w:spacing w:before="0" w:after="0"/>
        <w:ind w:right="20" w:firstLine="283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6.</w:t>
      </w:r>
    </w:p>
    <w:p>
      <w:pPr>
        <w:pStyle w:val="Normal"/>
        <w:tabs>
          <w:tab w:val="clear" w:pos="708"/>
          <w:tab w:val="left" w:pos="492" w:leader="none"/>
        </w:tabs>
        <w:spacing w:before="0" w:after="0"/>
        <w:ind w:right="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Ustala się cenę  jednej godziny usług opiekuńczych i specjalistycznych usług opiekuńczych </w:t>
        <w:br/>
        <w:t>z wyłączeniem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specjalistycznych usług opiekuńczych dla osób z zaburzeniami psychicznymi w kwocie 20,00 zł.</w:t>
      </w:r>
    </w:p>
    <w:p>
      <w:pPr>
        <w:pStyle w:val="Normal"/>
        <w:tabs>
          <w:tab w:val="clear" w:pos="708"/>
          <w:tab w:val="left" w:pos="492" w:leader="none"/>
        </w:tabs>
        <w:spacing w:before="0" w:after="0"/>
        <w:ind w:left="283" w:right="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clear" w:pos="708"/>
          <w:tab w:val="left" w:pos="2088" w:leader="none"/>
        </w:tabs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center"/>
        <w:rPr>
          <w:b/>
          <w:b/>
          <w:bCs/>
        </w:rPr>
      </w:pPr>
      <w:r>
        <w:rPr>
          <w:b/>
          <w:bCs/>
        </w:rPr>
        <w:t>Uzasadnienie</w:t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Na sesji w dniu 19 grudnia 2019 r.  Rada Gminy podjęła już uchwałę w tej sprawie. Natomiast, Wojewoda pismem z dnia 24 lutego br., w ramach postępowania nadzorczego, poinformował Przewodniczącego Rady Gminy oraz Wójta, że postanowienia zawarte </w:t>
        <w:br/>
        <w:t xml:space="preserve">w uchwalonych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warunkach przyznawania i odpłatności za usługi opiekuńcze i specjalistyczne usługi opiekuńcze, z wyłączeniem specjalistycznych usług opiekuńczych dla osób </w:t>
        <w:br/>
        <w:t>z zaburzeniami psychicznymi oraz szczegółowych warunków częściowego lub całkowitego zwolnienia z opłat, jak również trybu ich pobierania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, zostały podjęte </w:t>
        <w:br/>
        <w:t>z istotnym naruszeniem prawa, kwalifikującym  do skierowania skargi na ww. uchwałę do sądu administracyjnego z uwagi na upływ 30 dniowego terminu do stwierdzenia nieważności uchwały w trybie wydania przez Wojewodę rozstrzygnięcia nadzorczego.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Oznacza to, że jeżeli Rada Gminy nie usunie wskazanych usterek – Wojewoda zaskarży omawianą uchwałę do sądu administracyjnego. </w:t>
      </w:r>
    </w:p>
    <w:p>
      <w:pPr>
        <w:pStyle w:val="Normal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Świadczenie usług opiekuńczych i specjalistycznych usług opiekuńczych </w:t>
        <w:br/>
        <w:t>z wyłączeniem specjalistycznych usług opiekuńczych dla osób z zaburzeniami psychicznymi, należy do zadań gminy o charakterze obowiązkowym. Zgodnie z przepisami ustawy o pomocy społecznej, rada gminy zobowiązana jest do określenia w drodze uchwały, szczegółowych warunków przyznawania i odpłatności za usługi opiekuńcze i specjalistyczne usługi opiekuńcze, z wyłączeniem specjalistycznych usług opiekuńczych dla osób z zaburzeniami psychicznymi, oraz szczegółowych warunków częściowego lub całkowitego zwolnienia od opłat, jak również trybu ich pobierania.</w:t>
      </w:r>
    </w:p>
    <w:p>
      <w:pPr>
        <w:pStyle w:val="Standard"/>
        <w:spacing w:lineRule="auto" w:line="276"/>
        <w:jc w:val="both"/>
        <w:rPr>
          <w:b/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01"/>
    <w:family w:val="auto"/>
    <w:pitch w:val="default"/>
  </w:font>
  <w:font w:name="OpenSymbol">
    <w:altName w:val="Arial Unicode MS"/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§"/>
      <w:lvlJc w:val="left"/>
      <w:pPr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§"/>
      <w:lvlJc w:val="left"/>
      <w:pPr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§"/>
      <w:lvlJc w:val="left"/>
      <w:pPr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§"/>
      <w:lvlJc w:val="left"/>
      <w:pPr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650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d06501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06501"/>
    <w:pPr>
      <w:spacing w:before="0" w:after="200"/>
      <w:ind w:left="720" w:hanging="0"/>
      <w:contextualSpacing/>
    </w:pPr>
    <w:rPr/>
  </w:style>
  <w:style w:type="paragraph" w:styleId="Standard" w:customStyle="1">
    <w:name w:val="Standard"/>
    <w:qFormat/>
    <w:rsid w:val="00d0650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ahoma"/>
      <w:color w:val="auto"/>
      <w:kern w:val="2"/>
      <w:sz w:val="24"/>
      <w:szCs w:val="24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.legalis.pl/document-view.seam?documentId=mfrxilrtg4ytgnbtgiydk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LibreOffice/6.4.0.3$Windows_X86_64 LibreOffice_project/b0a288ab3d2d4774cb44b62f04d5d28733ac6df8</Application>
  <Pages>4</Pages>
  <Words>965</Words>
  <Characters>6035</Characters>
  <CharactersWithSpaces>7014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2020-03-18T08:54:00Z</dcterms:created>
  <dc:creator>Justyna</dc:creator>
  <dc:description/>
  <dc:language>pl-PL</dc:language>
  <cp:lastModifiedBy/>
  <dcterms:modified xsi:type="dcterms:W3CDTF">2020-03-20T13:41:45Z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